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5" w:rsidRDefault="00D676A5">
      <w:pPr>
        <w:pStyle w:val="ConsPlusTitle"/>
        <w:ind w:firstLine="540"/>
        <w:jc w:val="both"/>
        <w:outlineLvl w:val="0"/>
      </w:pPr>
      <w:r>
        <w:t>ЗАКУПКИ ТОВАРОВ, РАБОТ, УСЛУГ</w:t>
      </w:r>
    </w:p>
    <w:p w:rsidR="00D676A5" w:rsidRDefault="00D676A5">
      <w:pPr>
        <w:pStyle w:val="ConsPlusNormal"/>
        <w:ind w:firstLine="540"/>
        <w:jc w:val="both"/>
      </w:pPr>
    </w:p>
    <w:p w:rsidR="00D676A5" w:rsidRDefault="00D676A5">
      <w:pPr>
        <w:pStyle w:val="ConsPlusNormal"/>
        <w:ind w:firstLine="540"/>
        <w:jc w:val="both"/>
      </w:pPr>
      <w:r>
        <w:rPr>
          <w:b/>
        </w:rPr>
        <w:t>Соглашения об изменении условий контракта и о расторжении контракта, заключенного по результатам электронных процедур, закрытых электронных процедур, должны заключаться с использованием ЕИС (01.04.2025)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r:id="rId5">
        <w:r>
          <w:rPr>
            <w:color w:val="0000FF"/>
          </w:rPr>
          <w:t>частью 5 статьи 103</w:t>
        </w:r>
      </w:hyperlink>
      <w:r>
        <w:t xml:space="preserve"> Закона о контрактной системе, такие соглашения не размещаются на официальном сайте ЕИС.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В отношении контракта, заключенного до 1 апреля 2025 года, указанные положения </w:t>
      </w:r>
      <w:hyperlink r:id="rId6">
        <w:r>
          <w:rPr>
            <w:color w:val="0000FF"/>
          </w:rPr>
          <w:t>применяются</w:t>
        </w:r>
      </w:hyperlink>
      <w:r>
        <w:t xml:space="preserve"> в случае, если он заключен с использованием ЕИС и при его исполнении не заключено соглашение об изменении условий такого контракта без использования ЕИС.</w:t>
      </w:r>
    </w:p>
    <w:p w:rsidR="00D676A5" w:rsidRDefault="00D676A5">
      <w:pPr>
        <w:pStyle w:val="ConsPlusNormal"/>
        <w:spacing w:before="220"/>
        <w:ind w:left="540"/>
        <w:jc w:val="both"/>
      </w:pPr>
      <w:r>
        <w:t xml:space="preserve">(Федеральный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02.07.2021 N 360-ФЗ)</w:t>
      </w:r>
    </w:p>
    <w:p w:rsidR="00D676A5" w:rsidRDefault="00D676A5">
      <w:pPr>
        <w:pStyle w:val="ConsPlusNormal"/>
      </w:pPr>
      <w:hyperlink r:id="rId8">
        <w:r>
          <w:rPr>
            <w:i/>
            <w:color w:val="0000FF"/>
          </w:rPr>
          <w:br/>
          <w:t>Справочная информация: "Правовой календарь на II квартал 2025 года" (Материал подготовлен специалистами КонсультантПлюс) {КонсультантПлюс}</w:t>
        </w:r>
      </w:hyperlink>
      <w:r>
        <w:br/>
      </w:r>
    </w:p>
    <w:p w:rsidR="00D676A5" w:rsidRDefault="00D676A5">
      <w:pPr>
        <w:pStyle w:val="ConsPlusTitle"/>
        <w:spacing w:before="220"/>
        <w:ind w:firstLine="540"/>
        <w:jc w:val="both"/>
        <w:outlineLvl w:val="0"/>
      </w:pPr>
      <w:r>
        <w:t>ЗАКУПКИ ТОВАРОВ, РАБОТ, УСЛУГ</w:t>
      </w:r>
    </w:p>
    <w:p w:rsidR="00D676A5" w:rsidRDefault="00D676A5">
      <w:pPr>
        <w:pStyle w:val="ConsPlusNormal"/>
        <w:ind w:firstLine="540"/>
        <w:jc w:val="both"/>
      </w:pPr>
    </w:p>
    <w:p w:rsidR="00D676A5" w:rsidRDefault="00D676A5">
      <w:pPr>
        <w:pStyle w:val="ConsPlusNormal"/>
        <w:ind w:firstLine="540"/>
        <w:jc w:val="both"/>
      </w:pPr>
      <w:r>
        <w:rPr>
          <w:b/>
        </w:rPr>
        <w:t xml:space="preserve">Установлены </w:t>
      </w:r>
      <w:hyperlink r:id="rId9">
        <w:r>
          <w:rPr>
            <w:b/>
            <w:color w:val="0000FF"/>
          </w:rPr>
          <w:t>виды</w:t>
        </w:r>
      </w:hyperlink>
      <w:r>
        <w:rPr>
          <w:b/>
        </w:rPr>
        <w:t xml:space="preserve"> закупок, которые не включаются в расчет совокупного годового объема закупок при определении объема закупок у субъектов малого предпринимательства и социально ориентированных НКО (31.05.2025)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В расчет совокупного годового объема закупок при определении объема закупок, предусмотренного </w:t>
      </w:r>
      <w:hyperlink r:id="rId10">
        <w:r>
          <w:rPr>
            <w:color w:val="0000FF"/>
          </w:rPr>
          <w:t>частью 1 статьи 30</w:t>
        </w:r>
      </w:hyperlink>
      <w:r>
        <w:t xml:space="preserve"> Закона о контрактной системе, не включаются закупки в следующих случаях: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- закупки наркотических средств, психотропных веществ и их прекурсоров,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РФ;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- закупки лекарственных препаратов для медицинского применения заказчиком, годовой объем закупок лекарственных препаратов которого составляет 20 </w:t>
      </w:r>
      <w:proofErr w:type="gramStart"/>
      <w:r>
        <w:t>млн</w:t>
      </w:r>
      <w:proofErr w:type="gramEnd"/>
      <w:r>
        <w:t xml:space="preserve"> рублей и более;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- закупки медицинских изделий заказчиком, годовой объем закупок медицинских изделий которого составляет 20 </w:t>
      </w:r>
      <w:proofErr w:type="gramStart"/>
      <w:r>
        <w:t>млн</w:t>
      </w:r>
      <w:proofErr w:type="gramEnd"/>
      <w:r>
        <w:t xml:space="preserve"> рублей и более;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>- закупки Госкорпорацией "Роскосмос", ее организациями и организациями ракетно-космической промышленности товаров, работ, услуг для космической деятельности.</w:t>
      </w:r>
    </w:p>
    <w:p w:rsidR="00D676A5" w:rsidRDefault="00D676A5">
      <w:pPr>
        <w:pStyle w:val="ConsPlusNormal"/>
        <w:spacing w:before="220"/>
        <w:ind w:firstLine="540"/>
        <w:jc w:val="both"/>
      </w:pPr>
      <w:r>
        <w:t xml:space="preserve">Соответствующие изменения внесены в Постановления Правительства РФ от 11.12.2014 </w:t>
      </w:r>
      <w:hyperlink r:id="rId12">
        <w:r>
          <w:rPr>
            <w:color w:val="0000FF"/>
          </w:rPr>
          <w:t>N 1352</w:t>
        </w:r>
      </w:hyperlink>
      <w:r>
        <w:t xml:space="preserve"> и от 17.03.2015 </w:t>
      </w:r>
      <w:hyperlink r:id="rId13">
        <w:r>
          <w:rPr>
            <w:color w:val="0000FF"/>
          </w:rPr>
          <w:t>N 238</w:t>
        </w:r>
      </w:hyperlink>
      <w:r>
        <w:t>.</w:t>
      </w:r>
    </w:p>
    <w:p w:rsidR="00D676A5" w:rsidRDefault="00D676A5">
      <w:pPr>
        <w:pStyle w:val="ConsPlusNormal"/>
        <w:spacing w:before="220"/>
        <w:ind w:left="540"/>
        <w:jc w:val="both"/>
      </w:pPr>
      <w:r>
        <w:t>(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22.05.2025 N 708)</w:t>
      </w:r>
    </w:p>
    <w:p w:rsidR="00D676A5" w:rsidRDefault="00D676A5">
      <w:pPr>
        <w:pStyle w:val="ConsPlusNormal"/>
      </w:pPr>
      <w:hyperlink r:id="rId15">
        <w:r>
          <w:rPr>
            <w:i/>
            <w:color w:val="0000FF"/>
          </w:rPr>
          <w:br/>
          <w:t>Справочная информация: "Правовой календарь на II квартал 2025 года" (Материал подготовлен специалистами КонсультантПлюс) {КонсультантПлюс}</w:t>
        </w:r>
      </w:hyperlink>
      <w:r>
        <w:br/>
      </w:r>
    </w:p>
    <w:p w:rsidR="006B4500" w:rsidRDefault="006B4500">
      <w:bookmarkStart w:id="0" w:name="_GoBack"/>
      <w:bookmarkEnd w:id="0"/>
    </w:p>
    <w:sectPr w:rsidR="006B4500" w:rsidSect="00D7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5"/>
    <w:rsid w:val="006B4500"/>
    <w:rsid w:val="00D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460&amp;dst=100179" TargetMode="External"/><Relationship Id="rId13" Type="http://schemas.openxmlformats.org/officeDocument/2006/relationships/hyperlink" Target="https://login.consultant.ru/link/?req=doc&amp;base=LAW&amp;n=505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454&amp;dst=8" TargetMode="External"/><Relationship Id="rId12" Type="http://schemas.openxmlformats.org/officeDocument/2006/relationships/hyperlink" Target="https://login.consultant.ru/link/?req=doc&amp;base=LAW&amp;n=50596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54&amp;dst=4" TargetMode="External"/><Relationship Id="rId11" Type="http://schemas.openxmlformats.org/officeDocument/2006/relationships/hyperlink" Target="https://login.consultant.ru/link/?req=doc&amp;base=LAW&amp;n=462227&amp;dst=100009" TargetMode="External"/><Relationship Id="rId5" Type="http://schemas.openxmlformats.org/officeDocument/2006/relationships/hyperlink" Target="https://login.consultant.ru/link/?req=doc&amp;base=LAW&amp;n=483361&amp;dst=3060" TargetMode="External"/><Relationship Id="rId15" Type="http://schemas.openxmlformats.org/officeDocument/2006/relationships/hyperlink" Target="https://login.consultant.ru/link/?req=doc&amp;base=LAW&amp;n=500460&amp;dst=102788" TargetMode="External"/><Relationship Id="rId10" Type="http://schemas.openxmlformats.org/officeDocument/2006/relationships/hyperlink" Target="https://login.consultant.ru/link/?req=doc&amp;base=LAW&amp;n=483361&amp;dst=2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930&amp;dst=100005" TargetMode="External"/><Relationship Id="rId14" Type="http://schemas.openxmlformats.org/officeDocument/2006/relationships/hyperlink" Target="https://login.consultant.ru/link/?req=doc&amp;base=LAW&amp;n=505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2025-06-04T07:22:00Z</dcterms:created>
  <dcterms:modified xsi:type="dcterms:W3CDTF">2025-06-04T07:22:00Z</dcterms:modified>
</cp:coreProperties>
</file>